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5BDD90" w14:textId="77777777" w:rsidR="009C0B5A" w:rsidRPr="009C0B5A" w:rsidRDefault="009C0B5A" w:rsidP="009C0B5A">
      <w:pPr>
        <w:shd w:val="clear" w:color="auto" w:fill="FFFFFF"/>
        <w:spacing w:before="300" w:after="150" w:line="504" w:lineRule="atLeast"/>
        <w:jc w:val="center"/>
        <w:outlineLvl w:val="0"/>
        <w:rPr>
          <w:rFonts w:eastAsia="Times New Roman" w:cs="Times New Roman"/>
          <w:b/>
          <w:color w:val="333333"/>
          <w:kern w:val="36"/>
          <w:lang w:eastAsia="fr-FR"/>
        </w:rPr>
      </w:pPr>
      <w:r w:rsidRPr="009C0B5A">
        <w:rPr>
          <w:rFonts w:eastAsia="Times New Roman" w:cs="Times New Roman"/>
          <w:b/>
          <w:color w:val="333333"/>
          <w:kern w:val="36"/>
          <w:lang w:eastAsia="fr-FR"/>
        </w:rPr>
        <w:t>Abus sexuels dans l’Eglise : 12 clés pour comprendre et agir</w:t>
      </w:r>
    </w:p>
    <w:p w14:paraId="714FBECB" w14:textId="77777777" w:rsidR="009C0B5A" w:rsidRDefault="009C0B5A" w:rsidP="009C0B5A">
      <w:pPr>
        <w:shd w:val="clear" w:color="auto" w:fill="FFFFFF"/>
        <w:jc w:val="right"/>
        <w:rPr>
          <w:rFonts w:eastAsia="Times New Roman" w:cs="Times New Roman"/>
          <w:i/>
          <w:iCs/>
          <w:color w:val="333333"/>
          <w:sz w:val="20"/>
          <w:szCs w:val="20"/>
          <w:lang w:eastAsia="fr-FR"/>
        </w:rPr>
      </w:pPr>
      <w:r w:rsidRPr="009C0B5A">
        <w:rPr>
          <w:rFonts w:eastAsia="Times New Roman" w:cs="Times New Roman"/>
          <w:i/>
          <w:iCs/>
          <w:color w:val="333333"/>
          <w:sz w:val="20"/>
          <w:szCs w:val="20"/>
          <w:lang w:eastAsia="fr-FR"/>
        </w:rPr>
        <w:t>03.09.2018 par Maurice Page</w:t>
      </w:r>
    </w:p>
    <w:p w14:paraId="1B5757A7" w14:textId="77777777" w:rsidR="009C0B5A" w:rsidRDefault="009C0B5A" w:rsidP="009C0B5A">
      <w:pPr>
        <w:shd w:val="clear" w:color="auto" w:fill="FFFFFF"/>
        <w:jc w:val="right"/>
        <w:rPr>
          <w:rFonts w:eastAsia="Times New Roman" w:cs="Times New Roman"/>
          <w:i/>
          <w:iCs/>
          <w:color w:val="333333"/>
          <w:sz w:val="20"/>
          <w:szCs w:val="20"/>
          <w:lang w:eastAsia="fr-FR"/>
        </w:rPr>
      </w:pPr>
      <w:r w:rsidRPr="009C0B5A">
        <w:rPr>
          <w:rFonts w:eastAsia="Times New Roman" w:cs="Times New Roman"/>
          <w:i/>
          <w:iCs/>
          <w:color w:val="333333"/>
          <w:sz w:val="20"/>
          <w:szCs w:val="20"/>
          <w:lang w:eastAsia="fr-FR"/>
        </w:rPr>
        <w:t xml:space="preserve">https://www.cath.ch/newsf/abus-sexuels-dans-leglise-12-cles-pour-comprendre-et-agir/ </w:t>
      </w:r>
    </w:p>
    <w:p w14:paraId="00CA5659" w14:textId="77777777" w:rsidR="009C0B5A" w:rsidRPr="009C0B5A" w:rsidRDefault="009C0B5A" w:rsidP="009C0B5A">
      <w:pPr>
        <w:shd w:val="clear" w:color="auto" w:fill="FFFFFF"/>
        <w:jc w:val="right"/>
        <w:rPr>
          <w:rFonts w:eastAsia="Times New Roman" w:cs="Times New Roman"/>
          <w:i/>
          <w:iCs/>
          <w:color w:val="333333"/>
          <w:sz w:val="20"/>
          <w:szCs w:val="20"/>
          <w:lang w:eastAsia="fr-FR"/>
        </w:rPr>
      </w:pPr>
    </w:p>
    <w:p w14:paraId="6D5F3C0B" w14:textId="77777777" w:rsidR="009C0B5A" w:rsidRPr="009C0B5A" w:rsidRDefault="009C0B5A" w:rsidP="009C0B5A">
      <w:pPr>
        <w:shd w:val="clear" w:color="auto" w:fill="FFFFFF"/>
        <w:spacing w:after="150"/>
        <w:jc w:val="both"/>
        <w:rPr>
          <w:rFonts w:cs="Times New Roman"/>
          <w:color w:val="333333"/>
          <w:sz w:val="20"/>
          <w:szCs w:val="20"/>
          <w:lang w:eastAsia="fr-FR"/>
        </w:rPr>
      </w:pPr>
      <w:r w:rsidRPr="009C0B5A">
        <w:rPr>
          <w:rFonts w:cs="Times New Roman"/>
          <w:b/>
          <w:bCs/>
          <w:color w:val="333333"/>
          <w:sz w:val="20"/>
          <w:szCs w:val="20"/>
          <w:lang w:eastAsia="fr-FR"/>
        </w:rPr>
        <w:t>“Que nous est-il arrivé ?” Mgr Éric de Moulins-Beaufort, récemment nommé archevêque de Reims, livre une analyse circonstanciée sur le drame des abus sexuels dans l’Eglise. Au-delà des accusations et des explications toutes faites, il s’interroge sur la racine du mal et les moyens de l’affronter. Cath.ch en a tiré douze clés de compréhension et d’action. </w:t>
      </w:r>
    </w:p>
    <w:p w14:paraId="798F562C" w14:textId="77777777" w:rsidR="009C0B5A" w:rsidRPr="009C0B5A" w:rsidRDefault="009C0B5A" w:rsidP="009C0B5A">
      <w:pPr>
        <w:shd w:val="clear" w:color="auto" w:fill="FFFFFF"/>
        <w:spacing w:after="150"/>
        <w:jc w:val="both"/>
        <w:rPr>
          <w:rFonts w:cs="Times New Roman"/>
          <w:color w:val="333333"/>
          <w:sz w:val="20"/>
          <w:szCs w:val="20"/>
          <w:lang w:eastAsia="fr-FR"/>
        </w:rPr>
      </w:pPr>
      <w:r w:rsidRPr="009C0B5A">
        <w:rPr>
          <w:rFonts w:cs="Times New Roman"/>
          <w:color w:val="333333"/>
          <w:sz w:val="20"/>
          <w:szCs w:val="20"/>
          <w:lang w:eastAsia="fr-FR"/>
        </w:rPr>
        <w:t>Le président de la Commission doctrinale des évêques de France livre en une vingtaine de pages dans la </w:t>
      </w:r>
      <w:r w:rsidRPr="009C0B5A">
        <w:rPr>
          <w:rFonts w:cs="Times New Roman"/>
          <w:i/>
          <w:iCs/>
          <w:color w:val="333333"/>
          <w:sz w:val="20"/>
          <w:szCs w:val="20"/>
          <w:lang w:eastAsia="fr-FR"/>
        </w:rPr>
        <w:t>Nouvelle revue théologique</w:t>
      </w:r>
      <w:r w:rsidRPr="009C0B5A">
        <w:rPr>
          <w:rFonts w:cs="Times New Roman"/>
          <w:color w:val="333333"/>
          <w:sz w:val="20"/>
          <w:szCs w:val="20"/>
          <w:lang w:eastAsia="fr-FR"/>
        </w:rPr>
        <w:t> sa réflexion sur les causes et le traitement des abus sexuels. “Il est très difficile de se représenter ce dont il s’agit, tant qu’on n’a pas rencontré et entendu les personnes victimes, en les écoutant vraiment,” admet l’ancien évêque auxiliaire de Paris.</w:t>
      </w:r>
    </w:p>
    <w:p w14:paraId="0AE9DC2F" w14:textId="77777777" w:rsidR="009C0B5A" w:rsidRPr="009C0B5A" w:rsidRDefault="009C0B5A" w:rsidP="009C0B5A">
      <w:pPr>
        <w:shd w:val="clear" w:color="auto" w:fill="FFFFFF"/>
        <w:spacing w:before="300" w:after="150" w:line="504" w:lineRule="atLeast"/>
        <w:jc w:val="both"/>
        <w:outlineLvl w:val="0"/>
        <w:rPr>
          <w:rFonts w:eastAsia="Times New Roman" w:cs="Times New Roman"/>
          <w:b/>
          <w:color w:val="333333"/>
          <w:kern w:val="36"/>
          <w:sz w:val="20"/>
          <w:szCs w:val="20"/>
          <w:lang w:eastAsia="fr-FR"/>
        </w:rPr>
      </w:pPr>
      <w:r w:rsidRPr="009C0B5A">
        <w:rPr>
          <w:rFonts w:eastAsia="Times New Roman" w:cs="Times New Roman"/>
          <w:b/>
          <w:color w:val="333333"/>
          <w:kern w:val="36"/>
          <w:sz w:val="20"/>
          <w:szCs w:val="20"/>
          <w:lang w:eastAsia="fr-FR"/>
        </w:rPr>
        <w:t>1. Clarifier le vocabulaire</w:t>
      </w:r>
    </w:p>
    <w:p w14:paraId="48B0B6D7" w14:textId="77777777" w:rsidR="009C0B5A" w:rsidRPr="009C0B5A" w:rsidRDefault="009C0B5A" w:rsidP="009C0B5A">
      <w:pPr>
        <w:shd w:val="clear" w:color="auto" w:fill="FFFFFF"/>
        <w:spacing w:after="150"/>
        <w:jc w:val="both"/>
        <w:rPr>
          <w:rFonts w:cs="Times New Roman"/>
          <w:color w:val="333333"/>
          <w:sz w:val="20"/>
          <w:szCs w:val="20"/>
          <w:lang w:eastAsia="fr-FR"/>
        </w:rPr>
      </w:pPr>
      <w:r w:rsidRPr="009C0B5A">
        <w:rPr>
          <w:rFonts w:cs="Times New Roman"/>
          <w:color w:val="333333"/>
          <w:sz w:val="20"/>
          <w:szCs w:val="20"/>
          <w:lang w:eastAsia="fr-FR"/>
        </w:rPr>
        <w:t>L’appellation globale utilisée en France de “pédophilie” n’aide pas à affronter le problème dans sa globalité, précise Mgr de Moulins-Beaufort. Il lui préfère la terminologie anglo-saxonne plus générale d'”atteinte à des personnes vulnérables”. Le premier travail est donc d’opérer une typologie plus précise des divers abus sexuels.</w:t>
      </w:r>
    </w:p>
    <w:p w14:paraId="3E631FAF" w14:textId="77777777" w:rsidR="009C0B5A" w:rsidRPr="009C0B5A" w:rsidRDefault="009C0B5A" w:rsidP="009C0B5A">
      <w:pPr>
        <w:shd w:val="clear" w:color="auto" w:fill="FFFFFF"/>
        <w:spacing w:after="150"/>
        <w:jc w:val="both"/>
        <w:rPr>
          <w:rFonts w:cs="Times New Roman"/>
          <w:color w:val="333333"/>
          <w:sz w:val="20"/>
          <w:szCs w:val="20"/>
          <w:lang w:eastAsia="fr-FR"/>
        </w:rPr>
      </w:pPr>
      <w:r w:rsidRPr="009C0B5A">
        <w:rPr>
          <w:rFonts w:cs="Times New Roman"/>
          <w:color w:val="333333"/>
          <w:sz w:val="20"/>
          <w:szCs w:val="20"/>
          <w:lang w:eastAsia="fr-FR"/>
        </w:rPr>
        <w:t>Quelques prêtres sont désormais connus comme des pédophiles au sens strict : leurs pulsions sexuelles les tournent vers les enfants pré-pubères et leurs méfaits cessent dès que leur victime arrive à la puberté. “Le caractère compulsif de ces pratiques se vérifie dans tous les cas. L’espoir qu’un homme portant de telles pulsions puisse en être guéri paraît très limité.”</w:t>
      </w:r>
    </w:p>
    <w:p w14:paraId="7BC364A5" w14:textId="77777777" w:rsidR="009C0B5A" w:rsidRPr="009C0B5A" w:rsidRDefault="009C0B5A" w:rsidP="009C0B5A">
      <w:pPr>
        <w:shd w:val="clear" w:color="auto" w:fill="FFFFFF"/>
        <w:spacing w:after="150"/>
        <w:jc w:val="both"/>
        <w:rPr>
          <w:rFonts w:cs="Times New Roman"/>
          <w:color w:val="333333"/>
          <w:sz w:val="20"/>
          <w:szCs w:val="20"/>
          <w:lang w:eastAsia="fr-FR"/>
        </w:rPr>
      </w:pPr>
      <w:r w:rsidRPr="009C0B5A">
        <w:rPr>
          <w:rFonts w:cs="Times New Roman"/>
          <w:color w:val="333333"/>
          <w:sz w:val="20"/>
          <w:szCs w:val="20"/>
          <w:lang w:eastAsia="fr-FR"/>
        </w:rPr>
        <w:t>La deuxième catégorie comprend les collectionneurs d’images pédopornographiques qui ne commettent pas d’agression, mais qui “ne semblent pas réaliser qu’ils se sont rendus à tout le moins complices d’un système d’exploitation d’enfants”.</w:t>
      </w:r>
    </w:p>
    <w:p w14:paraId="11F9199C" w14:textId="77777777" w:rsidR="009C0B5A" w:rsidRPr="009C0B5A" w:rsidRDefault="009C0B5A" w:rsidP="009C0B5A">
      <w:pPr>
        <w:shd w:val="clear" w:color="auto" w:fill="FFFFFF"/>
        <w:spacing w:after="150"/>
        <w:jc w:val="both"/>
        <w:rPr>
          <w:rFonts w:cs="Times New Roman"/>
          <w:color w:val="333333"/>
          <w:sz w:val="20"/>
          <w:szCs w:val="20"/>
          <w:lang w:eastAsia="fr-FR"/>
        </w:rPr>
      </w:pPr>
      <w:r w:rsidRPr="009C0B5A">
        <w:rPr>
          <w:rFonts w:cs="Times New Roman"/>
          <w:color w:val="333333"/>
          <w:sz w:val="20"/>
          <w:szCs w:val="20"/>
          <w:lang w:eastAsia="fr-FR"/>
        </w:rPr>
        <w:t>L’éphébophilie concerne les prêtres qui “ont un besoin irrépressible de voir ou de toucher les parties génitales de jeunes hommes. […] Ils profitent d’une direction spirituelle ou d’une confession pour proposer au jeune de l’examiner afin de le rassurer sur le côté ‘normal’ de ses organes ou pour l’aider à sortir d’une pratique fréquente de la masturbation.”</w:t>
      </w:r>
    </w:p>
    <w:p w14:paraId="1C583F54" w14:textId="77777777" w:rsidR="009C0B5A" w:rsidRPr="009C0B5A" w:rsidRDefault="009C0B5A" w:rsidP="009C0B5A">
      <w:pPr>
        <w:shd w:val="clear" w:color="auto" w:fill="FFFFFF"/>
        <w:spacing w:after="150"/>
        <w:jc w:val="both"/>
        <w:rPr>
          <w:rFonts w:cs="Times New Roman"/>
          <w:color w:val="333333"/>
          <w:sz w:val="20"/>
          <w:szCs w:val="20"/>
          <w:lang w:eastAsia="fr-FR"/>
        </w:rPr>
      </w:pPr>
      <w:r w:rsidRPr="009C0B5A">
        <w:rPr>
          <w:rFonts w:cs="Times New Roman"/>
          <w:color w:val="333333"/>
          <w:sz w:val="20"/>
          <w:szCs w:val="20"/>
          <w:lang w:eastAsia="fr-FR"/>
        </w:rPr>
        <w:t>Les autres cas, les plus fréquents, concernent des gestes d’affection ou de soutien qui ne sont pas directement sexuels, mais dont le caractère répétitif caché et la durée indiquent l’ambiguïté. Dans certains cas, ces gestes apparemment non-sexuels finissent par déboucher sur d’autres qui le sont, entraînant une ou plusieurs ‘chutes’ qui auraient pu ne pas se produire et qui pourraient ne pas se renouveler. D’autres cas relèvent d’un comportement plus structurel.</w:t>
      </w:r>
    </w:p>
    <w:p w14:paraId="00824233" w14:textId="77777777" w:rsidR="009C0B5A" w:rsidRPr="009C0B5A" w:rsidRDefault="009C0B5A" w:rsidP="009C0B5A">
      <w:pPr>
        <w:shd w:val="clear" w:color="auto" w:fill="FFFFFF"/>
        <w:spacing w:after="150"/>
        <w:jc w:val="both"/>
        <w:rPr>
          <w:rFonts w:cs="Times New Roman"/>
          <w:color w:val="333333"/>
          <w:sz w:val="20"/>
          <w:szCs w:val="20"/>
          <w:lang w:eastAsia="fr-FR"/>
        </w:rPr>
      </w:pPr>
      <w:r w:rsidRPr="009C0B5A">
        <w:rPr>
          <w:rFonts w:cs="Times New Roman"/>
          <w:color w:val="333333"/>
          <w:sz w:val="20"/>
          <w:szCs w:val="20"/>
          <w:lang w:eastAsia="fr-FR"/>
        </w:rPr>
        <w:t>La dernière catégorie retenue par Mgr de Moulins-Beaufort regroupe les agressions sexuelles commises contre des adultes, hommes ou femmes, placés dans une relation de dépendance.</w:t>
      </w:r>
    </w:p>
    <w:p w14:paraId="20325959" w14:textId="77777777" w:rsidR="009C0B5A" w:rsidRPr="009C0B5A" w:rsidRDefault="009C0B5A" w:rsidP="009C0B5A">
      <w:pPr>
        <w:shd w:val="clear" w:color="auto" w:fill="FFFFFF"/>
        <w:spacing w:before="300" w:after="150" w:line="504" w:lineRule="atLeast"/>
        <w:jc w:val="both"/>
        <w:outlineLvl w:val="0"/>
        <w:rPr>
          <w:rFonts w:eastAsia="Times New Roman" w:cs="Times New Roman"/>
          <w:b/>
          <w:color w:val="333333"/>
          <w:kern w:val="36"/>
          <w:sz w:val="20"/>
          <w:szCs w:val="20"/>
          <w:lang w:eastAsia="fr-FR"/>
        </w:rPr>
      </w:pPr>
      <w:r w:rsidRPr="009C0B5A">
        <w:rPr>
          <w:rFonts w:eastAsia="Times New Roman" w:cs="Times New Roman"/>
          <w:b/>
          <w:color w:val="333333"/>
          <w:kern w:val="36"/>
          <w:sz w:val="20"/>
          <w:szCs w:val="20"/>
          <w:lang w:eastAsia="fr-FR"/>
        </w:rPr>
        <w:t>2. Accepter que de telles violences existent</w:t>
      </w:r>
    </w:p>
    <w:p w14:paraId="469A755D" w14:textId="77777777" w:rsidR="009C0B5A" w:rsidRPr="009C0B5A" w:rsidRDefault="009C0B5A" w:rsidP="009C0B5A">
      <w:pPr>
        <w:shd w:val="clear" w:color="auto" w:fill="FFFFFF"/>
        <w:spacing w:after="150"/>
        <w:jc w:val="both"/>
        <w:rPr>
          <w:rFonts w:cs="Times New Roman"/>
          <w:color w:val="333333"/>
          <w:sz w:val="20"/>
          <w:szCs w:val="20"/>
          <w:lang w:eastAsia="fr-FR"/>
        </w:rPr>
      </w:pPr>
      <w:r w:rsidRPr="009C0B5A">
        <w:rPr>
          <w:rFonts w:cs="Times New Roman"/>
          <w:color w:val="333333"/>
          <w:sz w:val="20"/>
          <w:szCs w:val="20"/>
          <w:lang w:eastAsia="fr-FR"/>
        </w:rPr>
        <w:t xml:space="preserve">Dans la partie la plus originale de sa contribution, le prélat s’interroge sur l’attitude des évêques </w:t>
      </w:r>
      <w:r>
        <w:rPr>
          <w:rFonts w:cs="Times New Roman"/>
          <w:color w:val="333333"/>
          <w:sz w:val="20"/>
          <w:szCs w:val="20"/>
          <w:lang w:eastAsia="fr-FR"/>
        </w:rPr>
        <w:t>et des autorités ecclésiales. ”</w:t>
      </w:r>
      <w:r w:rsidRPr="009C0B5A">
        <w:rPr>
          <w:rFonts w:cs="Times New Roman"/>
          <w:color w:val="333333"/>
          <w:sz w:val="20"/>
          <w:szCs w:val="20"/>
          <w:lang w:eastAsia="fr-FR"/>
        </w:rPr>
        <w:t>Le principal reproche formulé publiquement contre les évêques est d’avoir voulu protéger l’institution. Il nous paraît trop général et peu explicatif.”</w:t>
      </w:r>
    </w:p>
    <w:p w14:paraId="2E954172" w14:textId="77777777" w:rsidR="009C0B5A" w:rsidRPr="009C0B5A" w:rsidRDefault="009C0B5A" w:rsidP="009C0B5A">
      <w:pPr>
        <w:shd w:val="clear" w:color="auto" w:fill="FFFFFF"/>
        <w:spacing w:after="150"/>
        <w:jc w:val="both"/>
        <w:rPr>
          <w:rFonts w:cs="Times New Roman"/>
          <w:color w:val="333333"/>
          <w:sz w:val="20"/>
          <w:szCs w:val="20"/>
          <w:lang w:eastAsia="fr-FR"/>
        </w:rPr>
      </w:pPr>
      <w:r w:rsidRPr="009C0B5A">
        <w:rPr>
          <w:rFonts w:cs="Times New Roman"/>
          <w:color w:val="333333"/>
          <w:sz w:val="20"/>
          <w:szCs w:val="20"/>
          <w:lang w:eastAsia="fr-FR"/>
        </w:rPr>
        <w:t xml:space="preserve">Pour lui, un des principaux ressorts est psychologique. “Quelque chose dans l’esprit humain se refuse à accepter qu’existent de telles violences […] Ce qui est dénoncé est sinon nié, du moins ramené à des proportions qui paraissent acceptables.” Un responsable ecclésial apprenant, il y a cinquante ans, qu’un prêtre avait agressé sexuellement un enfant ou un jeune ne réalisait pas forcément de quoi il s’agissait : il ne pouvait imaginer qu’un prêtre et tout simplement qu’un homme puisse avoir des pulsions qui le rendent prédateur </w:t>
      </w:r>
      <w:r w:rsidRPr="009C0B5A">
        <w:rPr>
          <w:rFonts w:cs="Times New Roman"/>
          <w:color w:val="333333"/>
          <w:sz w:val="20"/>
          <w:szCs w:val="20"/>
          <w:lang w:eastAsia="fr-FR"/>
        </w:rPr>
        <w:lastRenderedPageBreak/>
        <w:t>pour ceux qui lui sont confiés. D’où la volonté, consciente ou non, de ne pas souhaiter en savoir plus et d’éviter le scandale.</w:t>
      </w:r>
    </w:p>
    <w:p w14:paraId="2EFC8DAE" w14:textId="77777777" w:rsidR="009C0B5A" w:rsidRPr="009C0B5A" w:rsidRDefault="009C0B5A" w:rsidP="009C0B5A">
      <w:pPr>
        <w:shd w:val="clear" w:color="auto" w:fill="FFFFFF"/>
        <w:spacing w:before="300" w:after="150" w:line="504" w:lineRule="atLeast"/>
        <w:jc w:val="both"/>
        <w:outlineLvl w:val="0"/>
        <w:rPr>
          <w:rFonts w:eastAsia="Times New Roman" w:cs="Times New Roman"/>
          <w:b/>
          <w:color w:val="333333"/>
          <w:kern w:val="36"/>
          <w:sz w:val="20"/>
          <w:szCs w:val="20"/>
          <w:lang w:eastAsia="fr-FR"/>
        </w:rPr>
      </w:pPr>
      <w:r w:rsidRPr="009C0B5A">
        <w:rPr>
          <w:rFonts w:eastAsia="Times New Roman" w:cs="Times New Roman"/>
          <w:b/>
          <w:color w:val="333333"/>
          <w:kern w:val="36"/>
          <w:sz w:val="20"/>
          <w:szCs w:val="20"/>
          <w:lang w:eastAsia="fr-FR"/>
        </w:rPr>
        <w:t>3. Comprendre la dimension systémique des abus</w:t>
      </w:r>
    </w:p>
    <w:p w14:paraId="29D408D4" w14:textId="77777777" w:rsidR="009C0B5A" w:rsidRPr="009C0B5A" w:rsidRDefault="009C0B5A" w:rsidP="009C0B5A">
      <w:pPr>
        <w:shd w:val="clear" w:color="auto" w:fill="FFFFFF"/>
        <w:spacing w:after="150"/>
        <w:jc w:val="both"/>
        <w:rPr>
          <w:rFonts w:cs="Times New Roman"/>
          <w:color w:val="333333"/>
          <w:sz w:val="20"/>
          <w:szCs w:val="20"/>
          <w:lang w:eastAsia="fr-FR"/>
        </w:rPr>
      </w:pPr>
      <w:r w:rsidRPr="009C0B5A">
        <w:rPr>
          <w:rFonts w:cs="Times New Roman"/>
          <w:color w:val="333333"/>
          <w:sz w:val="20"/>
          <w:szCs w:val="20"/>
          <w:lang w:eastAsia="fr-FR"/>
        </w:rPr>
        <w:t>Le silence imposé par la famille est le deuxième élément pointé par Mgr de Moulins-Beaufort. “Les parents des enfants agressés avaient souvent été des amis du prêtre agresseur, ou avaient été pleins d’admiration pour lui. […] En tout cas, l’institution à préserver n’était pas l’Église seule mais la totalité du système social. […] Car comment construire la société si l’on ne peut faire confiance aux adultes qui jouent un rôle social largement estimable ?”</w:t>
      </w:r>
    </w:p>
    <w:p w14:paraId="466384D5" w14:textId="77777777" w:rsidR="009C0B5A" w:rsidRPr="009C0B5A" w:rsidRDefault="009C0B5A" w:rsidP="009C0B5A">
      <w:pPr>
        <w:shd w:val="clear" w:color="auto" w:fill="FFFFFF"/>
        <w:spacing w:after="150"/>
        <w:jc w:val="both"/>
        <w:rPr>
          <w:rFonts w:cs="Times New Roman"/>
          <w:color w:val="333333"/>
          <w:sz w:val="20"/>
          <w:szCs w:val="20"/>
          <w:lang w:eastAsia="fr-FR"/>
        </w:rPr>
      </w:pPr>
      <w:r w:rsidRPr="009C0B5A">
        <w:rPr>
          <w:rFonts w:cs="Times New Roman"/>
          <w:color w:val="333333"/>
          <w:sz w:val="20"/>
          <w:szCs w:val="20"/>
          <w:lang w:eastAsia="fr-FR"/>
        </w:rPr>
        <w:t>Selon le prélat, un troisième élément, très peu regardé, entre aussi en jeu. “A peu près tout le monde : évêques, magistrats, parents, policiers… pensait sans trop le dire que les enfants victimes de ce genre d’actes en grandissant allaient oublier ou, du moins, surmonter la violence subie. […] Le fait nouveau […] est qu’il est désormais clair que les enfants n’oublient pas vraiment ; ils peuvent enfouir les faits subis, mais ceux-ci sont et restent un traumatisme.”</w:t>
      </w:r>
    </w:p>
    <w:p w14:paraId="72EBB4B8" w14:textId="77777777" w:rsidR="009C0B5A" w:rsidRPr="009C0B5A" w:rsidRDefault="009C0B5A" w:rsidP="009C0B5A">
      <w:pPr>
        <w:shd w:val="clear" w:color="auto" w:fill="FFFFFF"/>
        <w:spacing w:before="300" w:after="150" w:line="504" w:lineRule="atLeast"/>
        <w:jc w:val="both"/>
        <w:outlineLvl w:val="0"/>
        <w:rPr>
          <w:rFonts w:eastAsia="Times New Roman" w:cs="Times New Roman"/>
          <w:b/>
          <w:color w:val="333333"/>
          <w:kern w:val="36"/>
          <w:sz w:val="20"/>
          <w:szCs w:val="20"/>
          <w:lang w:eastAsia="fr-FR"/>
        </w:rPr>
      </w:pPr>
      <w:r w:rsidRPr="009C0B5A">
        <w:rPr>
          <w:rFonts w:eastAsia="Times New Roman" w:cs="Times New Roman"/>
          <w:b/>
          <w:color w:val="333333"/>
          <w:kern w:val="36"/>
          <w:sz w:val="20"/>
          <w:szCs w:val="20"/>
          <w:lang w:eastAsia="fr-FR"/>
        </w:rPr>
        <w:t>4. Dépasser les conceptions confuses de la miséricorde</w:t>
      </w:r>
    </w:p>
    <w:p w14:paraId="5780F2C6" w14:textId="77777777" w:rsidR="009C0B5A" w:rsidRPr="009C0B5A" w:rsidRDefault="009C0B5A" w:rsidP="009C0B5A">
      <w:pPr>
        <w:shd w:val="clear" w:color="auto" w:fill="FFFFFF"/>
        <w:spacing w:after="150"/>
        <w:jc w:val="both"/>
        <w:rPr>
          <w:rFonts w:cs="Times New Roman"/>
          <w:color w:val="333333"/>
          <w:sz w:val="20"/>
          <w:szCs w:val="20"/>
          <w:lang w:eastAsia="fr-FR"/>
        </w:rPr>
      </w:pPr>
      <w:r w:rsidRPr="009C0B5A">
        <w:rPr>
          <w:rFonts w:cs="Times New Roman"/>
          <w:color w:val="333333"/>
          <w:sz w:val="20"/>
          <w:szCs w:val="20"/>
          <w:lang w:eastAsia="fr-FR"/>
        </w:rPr>
        <w:t>La deuxième série de facteurs de l’omerta est d’ordre plus religieux ou théologique lié à une conception confuse de la miséricorde. “L’autorité ecclésiastique et, parfois, l’autorité judiciaire, ont eu tendance à considérer qu’il s’agissait de l’égarement d’un moment qu’une remontrance et la honte que ce fait soit connu de l’autorité suffiraient à empêcher de se reproduire. L’autorité n’a pas su – et sans doute pas voulu ‒ examiner davantage les causes profondes de ces actes.”</w:t>
      </w:r>
    </w:p>
    <w:p w14:paraId="08EE808E" w14:textId="77777777" w:rsidR="009C0B5A" w:rsidRPr="009C0B5A" w:rsidRDefault="009C0B5A" w:rsidP="009C0B5A">
      <w:pPr>
        <w:shd w:val="clear" w:color="auto" w:fill="FFFFFF"/>
        <w:spacing w:after="150"/>
        <w:jc w:val="both"/>
        <w:rPr>
          <w:rFonts w:cs="Times New Roman"/>
          <w:color w:val="333333"/>
          <w:sz w:val="20"/>
          <w:szCs w:val="20"/>
          <w:lang w:eastAsia="fr-FR"/>
        </w:rPr>
      </w:pPr>
      <w:r w:rsidRPr="009C0B5A">
        <w:rPr>
          <w:rFonts w:cs="Times New Roman"/>
          <w:color w:val="333333"/>
          <w:sz w:val="20"/>
          <w:szCs w:val="20"/>
          <w:lang w:eastAsia="fr-FR"/>
        </w:rPr>
        <w:t>“Les évêques ou les supérieurs religieux ont donc estimé que la miséricorde les obligeait à faire confiance en la bonne volonté du prêtre coupable, à l’aider à avancer sans l’enfermer dans sa faute.”</w:t>
      </w:r>
    </w:p>
    <w:p w14:paraId="40C68D45" w14:textId="77777777" w:rsidR="009C0B5A" w:rsidRPr="009C0B5A" w:rsidRDefault="009C0B5A" w:rsidP="009C0B5A">
      <w:pPr>
        <w:shd w:val="clear" w:color="auto" w:fill="FFFFFF"/>
        <w:spacing w:before="300" w:after="150" w:line="504" w:lineRule="atLeast"/>
        <w:jc w:val="both"/>
        <w:outlineLvl w:val="0"/>
        <w:rPr>
          <w:rFonts w:eastAsia="Times New Roman" w:cs="Times New Roman"/>
          <w:b/>
          <w:color w:val="333333"/>
          <w:kern w:val="36"/>
          <w:sz w:val="20"/>
          <w:szCs w:val="20"/>
          <w:lang w:eastAsia="fr-FR"/>
        </w:rPr>
      </w:pPr>
      <w:r w:rsidRPr="009C0B5A">
        <w:rPr>
          <w:rFonts w:eastAsia="Times New Roman" w:cs="Times New Roman"/>
          <w:b/>
          <w:color w:val="333333"/>
          <w:kern w:val="36"/>
          <w:sz w:val="20"/>
          <w:szCs w:val="20"/>
          <w:lang w:eastAsia="fr-FR"/>
        </w:rPr>
        <w:t>5. Reconnaître le mal</w:t>
      </w:r>
    </w:p>
    <w:p w14:paraId="1C266710" w14:textId="77777777" w:rsidR="009C0B5A" w:rsidRPr="009C0B5A" w:rsidRDefault="009C0B5A" w:rsidP="009C0B5A">
      <w:pPr>
        <w:shd w:val="clear" w:color="auto" w:fill="FFFFFF"/>
        <w:spacing w:after="150"/>
        <w:jc w:val="both"/>
        <w:rPr>
          <w:rFonts w:cs="Times New Roman"/>
          <w:color w:val="333333"/>
          <w:sz w:val="20"/>
          <w:szCs w:val="20"/>
          <w:lang w:eastAsia="fr-FR"/>
        </w:rPr>
      </w:pPr>
      <w:r w:rsidRPr="009C0B5A">
        <w:rPr>
          <w:rFonts w:cs="Times New Roman"/>
          <w:color w:val="333333"/>
          <w:sz w:val="20"/>
          <w:szCs w:val="20"/>
          <w:lang w:eastAsia="fr-FR"/>
        </w:rPr>
        <w:t>Ce faisant un élément constitutif du pardon, celui de la réparation, a été occulté, déplore l’évêque. “La réparation, c’est-à-dire ce qui, en tout état de cause, est dû à la personne victime. […] Le processus plus fondamental qui fait que le coupable prend sur lui au moins une part du poids du mal qu’il a causé. Parce qu’on ne réalisait pas […] les dégâts produits chez le ou les enfants, on a pu penser qu’un éloignement géographique des lieux de la ‘chute’ ou une mise à l’écart d’un ministère éducatif […] pouvaient suffire à remettre le prêtre coupable sur le bon chemin. […]</w:t>
      </w:r>
    </w:p>
    <w:p w14:paraId="084C7FDF" w14:textId="77777777" w:rsidR="009C0B5A" w:rsidRPr="009C0B5A" w:rsidRDefault="009C0B5A" w:rsidP="009C0B5A">
      <w:pPr>
        <w:shd w:val="clear" w:color="auto" w:fill="FFFFFF"/>
        <w:spacing w:after="150"/>
        <w:jc w:val="both"/>
        <w:rPr>
          <w:rFonts w:cs="Times New Roman"/>
          <w:color w:val="333333"/>
          <w:sz w:val="20"/>
          <w:szCs w:val="20"/>
          <w:lang w:eastAsia="fr-FR"/>
        </w:rPr>
      </w:pPr>
      <w:r w:rsidRPr="009C0B5A">
        <w:rPr>
          <w:rFonts w:cs="Times New Roman"/>
          <w:color w:val="333333"/>
          <w:sz w:val="20"/>
          <w:szCs w:val="20"/>
          <w:lang w:eastAsia="fr-FR"/>
        </w:rPr>
        <w:t>C’était malgré tout oublier que le pardon suppose que le coupable reconnaisse le mal qu’il a commis et en assume la gravité.” “C’est parce qu’ils avaient perdu le sens de la réparation que des responsables ont pu oser engager les personnes victimes à pardonner à leur agresseur, comme si ce qu’elles avaient subi pouvait être nettoyé comme une simple tache sur un linge, […] comme si le pardon se réduisait à une amnésie sur commande.”</w:t>
      </w:r>
    </w:p>
    <w:p w14:paraId="79D2442F" w14:textId="77777777" w:rsidR="009C0B5A" w:rsidRPr="009C0B5A" w:rsidRDefault="009C0B5A" w:rsidP="009C0B5A">
      <w:pPr>
        <w:shd w:val="clear" w:color="auto" w:fill="FFFFFF"/>
        <w:spacing w:before="300" w:after="150" w:line="504" w:lineRule="atLeast"/>
        <w:jc w:val="both"/>
        <w:outlineLvl w:val="0"/>
        <w:rPr>
          <w:rFonts w:eastAsia="Times New Roman" w:cs="Times New Roman"/>
          <w:b/>
          <w:color w:val="333333"/>
          <w:kern w:val="36"/>
          <w:sz w:val="20"/>
          <w:szCs w:val="20"/>
          <w:lang w:eastAsia="fr-FR"/>
        </w:rPr>
      </w:pPr>
      <w:r w:rsidRPr="009C0B5A">
        <w:rPr>
          <w:rFonts w:eastAsia="Times New Roman" w:cs="Times New Roman"/>
          <w:b/>
          <w:color w:val="333333"/>
          <w:kern w:val="36"/>
          <w:sz w:val="20"/>
          <w:szCs w:val="20"/>
          <w:lang w:eastAsia="fr-FR"/>
        </w:rPr>
        <w:t> 6. Lutter contre la “toute-puissance” de certains prêtres</w:t>
      </w:r>
    </w:p>
    <w:p w14:paraId="128EA56E" w14:textId="77777777" w:rsidR="009C0B5A" w:rsidRPr="009C0B5A" w:rsidRDefault="009C0B5A" w:rsidP="009C0B5A">
      <w:pPr>
        <w:shd w:val="clear" w:color="auto" w:fill="FFFFFF"/>
        <w:spacing w:after="150"/>
        <w:jc w:val="both"/>
        <w:rPr>
          <w:rFonts w:cs="Times New Roman"/>
          <w:color w:val="333333"/>
          <w:sz w:val="20"/>
          <w:szCs w:val="20"/>
          <w:lang w:eastAsia="fr-FR"/>
        </w:rPr>
      </w:pPr>
      <w:r w:rsidRPr="009C0B5A">
        <w:rPr>
          <w:rFonts w:cs="Times New Roman"/>
          <w:color w:val="333333"/>
          <w:sz w:val="20"/>
          <w:szCs w:val="20"/>
          <w:lang w:eastAsia="fr-FR"/>
        </w:rPr>
        <w:t>Le troisième facteur est celui du rapport des abuseurs avec leur évêque et les autres prêtres. Beaucoup parmi les prêtres coupables d’abus mettaient depuis longtemps l’autorité ecclésiale mal à l’aise. Leurs charismes, leurs exigences, les œuvres qu’ils avaient fondées, le milieu dont ils s’étaient entourés rendaient compliquées leurs relations avec les autres prêtres. Un certain nombre d’entre eux se sont complus dans un sentiment de toute-puissance, s’autorisant parfois explicitement à s’affranchir des lois.</w:t>
      </w:r>
    </w:p>
    <w:p w14:paraId="056D253C" w14:textId="77777777" w:rsidR="009C0B5A" w:rsidRPr="009C0B5A" w:rsidRDefault="009C0B5A" w:rsidP="009C0B5A">
      <w:pPr>
        <w:shd w:val="clear" w:color="auto" w:fill="FFFFFF"/>
        <w:spacing w:before="300" w:after="150" w:line="504" w:lineRule="atLeast"/>
        <w:jc w:val="both"/>
        <w:outlineLvl w:val="0"/>
        <w:rPr>
          <w:rFonts w:eastAsia="Times New Roman" w:cs="Times New Roman"/>
          <w:b/>
          <w:color w:val="333333"/>
          <w:kern w:val="36"/>
          <w:sz w:val="20"/>
          <w:szCs w:val="20"/>
          <w:lang w:eastAsia="fr-FR"/>
        </w:rPr>
      </w:pPr>
      <w:r w:rsidRPr="009C0B5A">
        <w:rPr>
          <w:rFonts w:eastAsia="Times New Roman" w:cs="Times New Roman"/>
          <w:b/>
          <w:color w:val="333333"/>
          <w:kern w:val="36"/>
          <w:sz w:val="20"/>
          <w:szCs w:val="20"/>
          <w:lang w:eastAsia="fr-FR"/>
        </w:rPr>
        <w:t>7. Envisager de nouvelles mesures disciplinaires</w:t>
      </w:r>
    </w:p>
    <w:p w14:paraId="473A3215" w14:textId="77777777" w:rsidR="009C0B5A" w:rsidRPr="009C0B5A" w:rsidRDefault="009C0B5A" w:rsidP="009C0B5A">
      <w:pPr>
        <w:shd w:val="clear" w:color="auto" w:fill="FFFFFF"/>
        <w:spacing w:after="150"/>
        <w:jc w:val="both"/>
        <w:rPr>
          <w:rFonts w:cs="Times New Roman"/>
          <w:color w:val="333333"/>
          <w:sz w:val="20"/>
          <w:szCs w:val="20"/>
          <w:lang w:eastAsia="fr-FR"/>
        </w:rPr>
      </w:pPr>
      <w:r w:rsidRPr="009C0B5A">
        <w:rPr>
          <w:rFonts w:cs="Times New Roman"/>
          <w:color w:val="333333"/>
          <w:sz w:val="20"/>
          <w:szCs w:val="20"/>
          <w:lang w:eastAsia="fr-FR"/>
        </w:rPr>
        <w:t>Pour les prêtres coupables, une réflexion est à mener sur l’échelle des sanctions possibles, estime Mgr de Moulins-Beaufort. Jusqu’à récemment, le renvoi de l’état clérical (ou réduction à l’état laïc) paraissait quasi impossible. Selon la théologie, “l’ordination sacerdotale est un pur don de Dieu qui imprime dans la personne un lien nouveau, d’un ordre spécial, avec le Christ, […] que rien d’humain, pas même une faute, ne peut supprimer.” Un prêtre peut être suspendu, il n’en reste pas moins prêtre.</w:t>
      </w:r>
    </w:p>
    <w:p w14:paraId="1EA02DD1" w14:textId="77777777" w:rsidR="009C0B5A" w:rsidRPr="009C0B5A" w:rsidRDefault="009C0B5A" w:rsidP="009C0B5A">
      <w:pPr>
        <w:shd w:val="clear" w:color="auto" w:fill="FFFFFF"/>
        <w:spacing w:after="150"/>
        <w:jc w:val="both"/>
        <w:rPr>
          <w:rFonts w:cs="Times New Roman"/>
          <w:color w:val="333333"/>
          <w:sz w:val="20"/>
          <w:szCs w:val="20"/>
          <w:lang w:eastAsia="fr-FR"/>
        </w:rPr>
      </w:pPr>
      <w:r w:rsidRPr="009C0B5A">
        <w:rPr>
          <w:rFonts w:cs="Times New Roman"/>
          <w:color w:val="333333"/>
          <w:sz w:val="20"/>
          <w:szCs w:val="20"/>
          <w:lang w:eastAsia="fr-FR"/>
        </w:rPr>
        <w:t xml:space="preserve">Cette doctrine classique explique que les évêques n’aient envisagé les mesures disciplinaires contre des prêtres coupables que comme des mesures de précaution provisoires. Or, il apparaît aujourd’hui inconcevable pour les victimes et pour les fidèles qu’un prêtre coupable d’agression sexuelle sur </w:t>
      </w:r>
      <w:proofErr w:type="gramStart"/>
      <w:r w:rsidRPr="009C0B5A">
        <w:rPr>
          <w:rFonts w:cs="Times New Roman"/>
          <w:color w:val="333333"/>
          <w:sz w:val="20"/>
          <w:szCs w:val="20"/>
          <w:lang w:eastAsia="fr-FR"/>
        </w:rPr>
        <w:t>mineur puisse</w:t>
      </w:r>
      <w:proofErr w:type="gramEnd"/>
      <w:r w:rsidRPr="009C0B5A">
        <w:rPr>
          <w:rFonts w:cs="Times New Roman"/>
          <w:color w:val="333333"/>
          <w:sz w:val="20"/>
          <w:szCs w:val="20"/>
          <w:lang w:eastAsia="fr-FR"/>
        </w:rPr>
        <w:t xml:space="preserve"> jamais à nouveau célébrer la messe.</w:t>
      </w:r>
    </w:p>
    <w:p w14:paraId="020A6AC5" w14:textId="77777777" w:rsidR="009C0B5A" w:rsidRPr="009C0B5A" w:rsidRDefault="009C0B5A" w:rsidP="009C0B5A">
      <w:pPr>
        <w:shd w:val="clear" w:color="auto" w:fill="FFFFFF"/>
        <w:spacing w:after="150"/>
        <w:jc w:val="both"/>
        <w:rPr>
          <w:rFonts w:cs="Times New Roman"/>
          <w:color w:val="333333"/>
          <w:sz w:val="20"/>
          <w:szCs w:val="20"/>
          <w:lang w:eastAsia="fr-FR"/>
        </w:rPr>
      </w:pPr>
      <w:r w:rsidRPr="009C0B5A">
        <w:rPr>
          <w:rFonts w:cs="Times New Roman"/>
          <w:color w:val="333333"/>
          <w:sz w:val="20"/>
          <w:szCs w:val="20"/>
          <w:lang w:eastAsia="fr-FR"/>
        </w:rPr>
        <w:t>“Les papes Benoît XVI et François ont affirmé avec force d’ailleurs qu’un homme à tendance pédophile n’avait pas sa place dans le presbyterium.” Un homme ne devient pas pédophile parce qu’il est prêtre : la causalité est inverse : un pédophile pourra être attiré vers le sacerdoce parce qu’être prêtre lui permet de nombreux contacts avec des enfants et des jeunes.</w:t>
      </w:r>
    </w:p>
    <w:p w14:paraId="64AEB1C0" w14:textId="77777777" w:rsidR="009C0B5A" w:rsidRPr="009C0B5A" w:rsidRDefault="009C0B5A" w:rsidP="009C0B5A">
      <w:pPr>
        <w:shd w:val="clear" w:color="auto" w:fill="FFFFFF"/>
        <w:spacing w:after="150"/>
        <w:jc w:val="both"/>
        <w:rPr>
          <w:rFonts w:cs="Times New Roman"/>
          <w:color w:val="333333"/>
          <w:sz w:val="20"/>
          <w:szCs w:val="20"/>
          <w:lang w:eastAsia="fr-FR"/>
        </w:rPr>
      </w:pPr>
      <w:r w:rsidRPr="009C0B5A">
        <w:rPr>
          <w:rFonts w:cs="Times New Roman"/>
          <w:color w:val="333333"/>
          <w:sz w:val="20"/>
          <w:szCs w:val="20"/>
          <w:lang w:eastAsia="fr-FR"/>
        </w:rPr>
        <w:t>Mgr de Moulins-Beaufort suggère une clarification canonique : “peut-on considérer comme tout simplement nulle et non avenue l’ordination d’un homme dont on découvre plus tard qu’il a une personnalité pédophile, comme si la grâce du caractère sacerdotal ne pouvait ‘accrocher’ réellement sur une telle structure ?”</w:t>
      </w:r>
    </w:p>
    <w:p w14:paraId="1CE5F6B6" w14:textId="77777777" w:rsidR="009C0B5A" w:rsidRPr="009C0B5A" w:rsidRDefault="009C0B5A" w:rsidP="009C0B5A">
      <w:pPr>
        <w:shd w:val="clear" w:color="auto" w:fill="FFFFFF"/>
        <w:spacing w:before="300" w:after="150" w:line="504" w:lineRule="atLeast"/>
        <w:jc w:val="both"/>
        <w:outlineLvl w:val="0"/>
        <w:rPr>
          <w:rFonts w:eastAsia="Times New Roman" w:cs="Times New Roman"/>
          <w:b/>
          <w:color w:val="333333"/>
          <w:kern w:val="36"/>
          <w:sz w:val="20"/>
          <w:szCs w:val="20"/>
          <w:lang w:eastAsia="fr-FR"/>
        </w:rPr>
      </w:pPr>
      <w:r w:rsidRPr="009C0B5A">
        <w:rPr>
          <w:rFonts w:eastAsia="Times New Roman" w:cs="Times New Roman"/>
          <w:b/>
          <w:color w:val="333333"/>
          <w:kern w:val="36"/>
          <w:sz w:val="20"/>
          <w:szCs w:val="20"/>
          <w:lang w:eastAsia="fr-FR"/>
        </w:rPr>
        <w:t>8. Echelonner les sanctions</w:t>
      </w:r>
    </w:p>
    <w:p w14:paraId="3D365412" w14:textId="77777777" w:rsidR="009C0B5A" w:rsidRPr="009C0B5A" w:rsidRDefault="009C0B5A" w:rsidP="009C0B5A">
      <w:pPr>
        <w:shd w:val="clear" w:color="auto" w:fill="FFFFFF"/>
        <w:spacing w:after="150"/>
        <w:jc w:val="both"/>
        <w:rPr>
          <w:rFonts w:cs="Times New Roman"/>
          <w:color w:val="333333"/>
          <w:sz w:val="20"/>
          <w:szCs w:val="20"/>
          <w:lang w:eastAsia="fr-FR"/>
        </w:rPr>
      </w:pPr>
      <w:r w:rsidRPr="009C0B5A">
        <w:rPr>
          <w:rFonts w:cs="Times New Roman"/>
          <w:color w:val="333333"/>
          <w:sz w:val="20"/>
          <w:szCs w:val="20"/>
          <w:lang w:eastAsia="fr-FR"/>
        </w:rPr>
        <w:t>Pour les coupables ne relevant pas de la pédophilie, mais d’une sexualité immature, l’évêque propose une gamme de sanctions plus large : tel prêtre peut-il encore célébrer la messe ? Pour une assemblée ou seulement en privé ? Peut-il confesser mais avec des restrictions quant aux personnes et aux lieux ? Peut-il encore exercer la direction spirituelle ? Peut-il exercer une responsabilité pastorale ? Pourra-t-il un jour à nouveau s’occuper d’enfants ou de jeunes ? Avec évidemment la grande difficulté d’exercer le contrôle de ces sanctions.</w:t>
      </w:r>
    </w:p>
    <w:p w14:paraId="684419F7" w14:textId="77777777" w:rsidR="009C0B5A" w:rsidRPr="009C0B5A" w:rsidRDefault="009C0B5A" w:rsidP="009C0B5A">
      <w:pPr>
        <w:shd w:val="clear" w:color="auto" w:fill="FFFFFF"/>
        <w:spacing w:before="300" w:after="150" w:line="504" w:lineRule="atLeast"/>
        <w:jc w:val="both"/>
        <w:outlineLvl w:val="0"/>
        <w:rPr>
          <w:rFonts w:eastAsia="Times New Roman" w:cs="Times New Roman"/>
          <w:b/>
          <w:color w:val="333333"/>
          <w:kern w:val="36"/>
          <w:sz w:val="20"/>
          <w:szCs w:val="20"/>
          <w:lang w:eastAsia="fr-FR"/>
        </w:rPr>
      </w:pPr>
      <w:r w:rsidRPr="009C0B5A">
        <w:rPr>
          <w:rFonts w:eastAsia="Times New Roman" w:cs="Times New Roman"/>
          <w:b/>
          <w:color w:val="333333"/>
          <w:kern w:val="36"/>
          <w:sz w:val="20"/>
          <w:szCs w:val="20"/>
          <w:lang w:eastAsia="fr-FR"/>
        </w:rPr>
        <w:t>9. Proposer à tous un chemin spirituel</w:t>
      </w:r>
    </w:p>
    <w:p w14:paraId="17A51A5C" w14:textId="77777777" w:rsidR="009C0B5A" w:rsidRPr="009C0B5A" w:rsidRDefault="009C0B5A" w:rsidP="009C0B5A">
      <w:pPr>
        <w:shd w:val="clear" w:color="auto" w:fill="FFFFFF"/>
        <w:spacing w:after="150"/>
        <w:jc w:val="both"/>
        <w:rPr>
          <w:rFonts w:cs="Times New Roman"/>
          <w:color w:val="333333"/>
          <w:sz w:val="20"/>
          <w:szCs w:val="20"/>
          <w:lang w:eastAsia="fr-FR"/>
        </w:rPr>
      </w:pPr>
      <w:r w:rsidRPr="009C0B5A">
        <w:rPr>
          <w:rFonts w:cs="Times New Roman"/>
          <w:color w:val="333333"/>
          <w:sz w:val="20"/>
          <w:szCs w:val="20"/>
          <w:lang w:eastAsia="fr-FR"/>
        </w:rPr>
        <w:t>Au-delà des sanctions, un chemin spirituel doit pouvoir être proposé même aux prêtres coupables, note l’évêque. “Un des aspects du drame est l’immense capacité de déni dont font preuve beaucoup d’entre eux. Elle rend difficile pour ceux qui s’y attellent de les accompagner dans la durée. […] De prêtres, […] on pourrait espérer […] au moins l’acceptation que le pardon ne débarrasse pas des conséquences du péché, mais aide au contraire à en porter le poids sans en être écrasé.”</w:t>
      </w:r>
    </w:p>
    <w:p w14:paraId="33F0F80A" w14:textId="77777777" w:rsidR="009C0B5A" w:rsidRPr="009C0B5A" w:rsidRDefault="009C0B5A" w:rsidP="009C0B5A">
      <w:pPr>
        <w:shd w:val="clear" w:color="auto" w:fill="FFFFFF"/>
        <w:spacing w:after="150"/>
        <w:jc w:val="both"/>
        <w:rPr>
          <w:rFonts w:cs="Times New Roman"/>
          <w:color w:val="333333"/>
          <w:sz w:val="20"/>
          <w:szCs w:val="20"/>
          <w:lang w:eastAsia="fr-FR"/>
        </w:rPr>
      </w:pPr>
      <w:r w:rsidRPr="009C0B5A">
        <w:rPr>
          <w:rFonts w:cs="Times New Roman"/>
          <w:color w:val="333333"/>
          <w:sz w:val="20"/>
          <w:szCs w:val="20"/>
          <w:lang w:eastAsia="fr-FR"/>
        </w:rPr>
        <w:t>La parole des victimes, devenue possible, “se mue chez quelques-uns en une réclamation de punition, parfois en attendant de l’Église qu’elle exerce une sévérité à laquelle la justice civile a renoncé”, constate Mgr de Moulins-Beaufort. “Seul un sens renouvelé de l’expiation rendra possible un vrai pardon.”</w:t>
      </w:r>
    </w:p>
    <w:p w14:paraId="3E686F73" w14:textId="77777777" w:rsidR="009C0B5A" w:rsidRPr="009C0B5A" w:rsidRDefault="009C0B5A" w:rsidP="009C0B5A">
      <w:pPr>
        <w:shd w:val="clear" w:color="auto" w:fill="FFFFFF"/>
        <w:spacing w:after="150"/>
        <w:jc w:val="both"/>
        <w:rPr>
          <w:rFonts w:cs="Times New Roman"/>
          <w:color w:val="333333"/>
          <w:sz w:val="20"/>
          <w:szCs w:val="20"/>
          <w:lang w:eastAsia="fr-FR"/>
        </w:rPr>
      </w:pPr>
      <w:r w:rsidRPr="009C0B5A">
        <w:rPr>
          <w:rFonts w:cs="Times New Roman"/>
          <w:color w:val="333333"/>
          <w:sz w:val="20"/>
          <w:szCs w:val="20"/>
          <w:lang w:eastAsia="fr-FR"/>
        </w:rPr>
        <w:t>La difficulté pour l’autorité ecclésiale est alors d’occuper le prêtre coupable. S’il ne peut plus exercer le ministère sacerdotal</w:t>
      </w:r>
      <w:r w:rsidR="00EA7964">
        <w:rPr>
          <w:rFonts w:cs="Times New Roman"/>
          <w:color w:val="333333"/>
          <w:sz w:val="20"/>
          <w:szCs w:val="20"/>
          <w:lang w:eastAsia="fr-FR"/>
        </w:rPr>
        <w:t>,</w:t>
      </w:r>
      <w:r w:rsidRPr="009C0B5A">
        <w:rPr>
          <w:rFonts w:cs="Times New Roman"/>
          <w:color w:val="333333"/>
          <w:sz w:val="20"/>
          <w:szCs w:val="20"/>
          <w:lang w:eastAsia="fr-FR"/>
        </w:rPr>
        <w:t xml:space="preserve"> que lui faire faire ? Le classement des archives a des limites. Faut-il encourager à chercher un emploi dans la société civile ?</w:t>
      </w:r>
    </w:p>
    <w:p w14:paraId="4788641F" w14:textId="77777777" w:rsidR="009C0B5A" w:rsidRPr="009C0B5A" w:rsidRDefault="009C0B5A" w:rsidP="009C0B5A">
      <w:pPr>
        <w:shd w:val="clear" w:color="auto" w:fill="FFFFFF"/>
        <w:spacing w:before="300" w:after="150" w:line="504" w:lineRule="atLeast"/>
        <w:jc w:val="both"/>
        <w:outlineLvl w:val="0"/>
        <w:rPr>
          <w:rFonts w:eastAsia="Times New Roman" w:cs="Times New Roman"/>
          <w:b/>
          <w:color w:val="333333"/>
          <w:kern w:val="36"/>
          <w:sz w:val="20"/>
          <w:szCs w:val="20"/>
          <w:lang w:eastAsia="fr-FR"/>
        </w:rPr>
      </w:pPr>
      <w:r w:rsidRPr="009C0B5A">
        <w:rPr>
          <w:rFonts w:eastAsia="Times New Roman" w:cs="Times New Roman"/>
          <w:b/>
          <w:color w:val="333333"/>
          <w:kern w:val="36"/>
          <w:sz w:val="20"/>
          <w:szCs w:val="20"/>
          <w:lang w:eastAsia="fr-FR"/>
        </w:rPr>
        <w:t>10. Eviter les dérives du cléricalisme</w:t>
      </w:r>
    </w:p>
    <w:p w14:paraId="5675CED4" w14:textId="77777777" w:rsidR="009C0B5A" w:rsidRPr="009C0B5A" w:rsidRDefault="009C0B5A" w:rsidP="009C0B5A">
      <w:pPr>
        <w:shd w:val="clear" w:color="auto" w:fill="FFFFFF"/>
        <w:spacing w:after="150"/>
        <w:jc w:val="both"/>
        <w:rPr>
          <w:rFonts w:cs="Times New Roman"/>
          <w:color w:val="333333"/>
          <w:sz w:val="20"/>
          <w:szCs w:val="20"/>
          <w:lang w:eastAsia="fr-FR"/>
        </w:rPr>
      </w:pPr>
      <w:r w:rsidRPr="009C0B5A">
        <w:rPr>
          <w:rFonts w:cs="Times New Roman"/>
          <w:color w:val="333333"/>
          <w:sz w:val="20"/>
          <w:szCs w:val="20"/>
          <w:lang w:eastAsia="fr-FR"/>
        </w:rPr>
        <w:t>Pour Mgr de Moulins-Beaufort, le cœur du drame tient à la conjonction d’un pouvoir spirituel puissant et du déséquilibre des personnalités. Pouvoir et sexualité entretiennent des liens complexes.</w:t>
      </w:r>
    </w:p>
    <w:p w14:paraId="008C857E" w14:textId="77777777" w:rsidR="009C0B5A" w:rsidRPr="009C0B5A" w:rsidRDefault="009C0B5A" w:rsidP="009C0B5A">
      <w:pPr>
        <w:shd w:val="clear" w:color="auto" w:fill="FFFFFF"/>
        <w:spacing w:after="150"/>
        <w:jc w:val="both"/>
        <w:rPr>
          <w:rFonts w:cs="Times New Roman"/>
          <w:color w:val="333333"/>
          <w:sz w:val="20"/>
          <w:szCs w:val="20"/>
          <w:lang w:eastAsia="fr-FR"/>
        </w:rPr>
      </w:pPr>
      <w:r w:rsidRPr="009C0B5A">
        <w:rPr>
          <w:rFonts w:cs="Times New Roman"/>
          <w:color w:val="333333"/>
          <w:sz w:val="20"/>
          <w:szCs w:val="20"/>
          <w:lang w:eastAsia="fr-FR"/>
        </w:rPr>
        <w:t>“Un immense effort de réflexion et d’attention est donc à consentir pour que les hommes et les femmes, les adultes et les enfants, acquièrent le sens de la chasteté qui n’est pas seulement d’éviter les gestes sexuels mais qui est bien plutôt de se tenir l’un par rapport à l’autre dans une relation ajustée, qui laisse à chacun sa pleine liberté.”</w:t>
      </w:r>
    </w:p>
    <w:p w14:paraId="29E9EA86" w14:textId="77777777" w:rsidR="002768FF" w:rsidRDefault="009C0B5A" w:rsidP="002768FF">
      <w:pPr>
        <w:shd w:val="clear" w:color="auto" w:fill="FFFFFF"/>
        <w:spacing w:after="150"/>
        <w:jc w:val="both"/>
        <w:rPr>
          <w:rFonts w:cs="Times New Roman"/>
          <w:color w:val="333333"/>
          <w:sz w:val="20"/>
          <w:szCs w:val="20"/>
          <w:lang w:eastAsia="fr-FR"/>
        </w:rPr>
      </w:pPr>
      <w:r w:rsidRPr="009C0B5A">
        <w:rPr>
          <w:rFonts w:cs="Times New Roman"/>
          <w:color w:val="333333"/>
          <w:sz w:val="20"/>
          <w:szCs w:val="20"/>
          <w:lang w:eastAsia="fr-FR"/>
        </w:rPr>
        <w:t>Le risque de voir dans le prêtre le détenteur d’un savoir ésotérique, inaccessible au commun des mortels, entouré d’une aura sacrée doit être combattu par un esprit de service, note l’évêque. Raison pour laquelle aussi la charge d’une paroisse ou d’une communauté doit être assumée dans un rapport de communion avec les conseils pastoraux et économiques.</w:t>
      </w:r>
    </w:p>
    <w:p w14:paraId="79316DE5" w14:textId="77777777" w:rsidR="002E2B50" w:rsidRDefault="002E2B50" w:rsidP="002E2B50">
      <w:pPr>
        <w:rPr>
          <w:rFonts w:cs="Times New Roman"/>
          <w:color w:val="333333"/>
          <w:sz w:val="20"/>
          <w:szCs w:val="20"/>
          <w:lang w:eastAsia="fr-FR"/>
        </w:rPr>
      </w:pPr>
    </w:p>
    <w:p w14:paraId="04E53466" w14:textId="5C746AC8" w:rsidR="009C0B5A" w:rsidRPr="009C0B5A" w:rsidRDefault="009C0B5A" w:rsidP="002E2B50">
      <w:pPr>
        <w:rPr>
          <w:rFonts w:cs="Times New Roman"/>
          <w:color w:val="333333"/>
          <w:sz w:val="20"/>
          <w:szCs w:val="20"/>
          <w:lang w:eastAsia="fr-FR"/>
        </w:rPr>
      </w:pPr>
      <w:bookmarkStart w:id="0" w:name="_GoBack"/>
      <w:bookmarkEnd w:id="0"/>
      <w:r w:rsidRPr="009C0B5A">
        <w:rPr>
          <w:rFonts w:eastAsia="Times New Roman" w:cs="Times New Roman"/>
          <w:b/>
          <w:color w:val="333333"/>
          <w:kern w:val="36"/>
          <w:sz w:val="20"/>
          <w:szCs w:val="20"/>
          <w:lang w:eastAsia="fr-FR"/>
        </w:rPr>
        <w:t>11. Mieux entourer les prêtres</w:t>
      </w:r>
    </w:p>
    <w:p w14:paraId="6817D28E" w14:textId="77777777" w:rsidR="009C0B5A" w:rsidRPr="009C0B5A" w:rsidRDefault="009C0B5A" w:rsidP="009C0B5A">
      <w:pPr>
        <w:shd w:val="clear" w:color="auto" w:fill="FFFFFF"/>
        <w:spacing w:after="150"/>
        <w:jc w:val="both"/>
        <w:rPr>
          <w:rFonts w:cs="Times New Roman"/>
          <w:color w:val="333333"/>
          <w:sz w:val="20"/>
          <w:szCs w:val="20"/>
          <w:lang w:eastAsia="fr-FR"/>
        </w:rPr>
      </w:pPr>
      <w:r w:rsidRPr="009C0B5A">
        <w:rPr>
          <w:rFonts w:cs="Times New Roman"/>
          <w:color w:val="333333"/>
          <w:sz w:val="20"/>
          <w:szCs w:val="20"/>
          <w:lang w:eastAsia="fr-FR"/>
        </w:rPr>
        <w:t>La question de la formation et de la formation continue des prêtres occupe une large part de la réflexion de Mgr de Moulins-Beaufort. “Le progrès à faire est sans doute de dépasser la naïveté sur les mécanismes qui jouent dans les relations humaines.” “À celui qui décide de répondre à l’appel au sacerdoce ministériel, il faudra donc entrer dans un vrai travail intérieur, dans une reprise même de sa propre construction personnelle.” Les prêtres doivent pouvoir être entourés au long de leur vie d’un climat d’amitié, de respect, de stimulation aussi par les autres prêtres, par les laïcs, par des amis et les membres de leur famille, mais aussi par des instances organisées par l’évêque.</w:t>
      </w:r>
    </w:p>
    <w:p w14:paraId="74F57B32" w14:textId="77777777" w:rsidR="009C0B5A" w:rsidRPr="009C0B5A" w:rsidRDefault="009C0B5A" w:rsidP="009C0B5A">
      <w:pPr>
        <w:shd w:val="clear" w:color="auto" w:fill="FFFFFF"/>
        <w:spacing w:after="150"/>
        <w:jc w:val="both"/>
        <w:rPr>
          <w:rFonts w:cs="Times New Roman"/>
          <w:color w:val="333333"/>
          <w:sz w:val="20"/>
          <w:szCs w:val="20"/>
          <w:lang w:eastAsia="fr-FR"/>
        </w:rPr>
      </w:pPr>
      <w:r w:rsidRPr="009C0B5A">
        <w:rPr>
          <w:rFonts w:cs="Times New Roman"/>
          <w:color w:val="333333"/>
          <w:sz w:val="20"/>
          <w:szCs w:val="20"/>
          <w:lang w:eastAsia="fr-FR"/>
        </w:rPr>
        <w:t>Le travail avec ou sous la responsabilité de femmes dans les études ou dans les activités apostoliques “sera toujours un moyen important de progrès et un critère de discernement”, souligne Mgr de Moulins-Beaufort.</w:t>
      </w:r>
    </w:p>
    <w:p w14:paraId="08841B03" w14:textId="77777777" w:rsidR="009C0B5A" w:rsidRPr="009C0B5A" w:rsidRDefault="009C0B5A" w:rsidP="009C0B5A">
      <w:pPr>
        <w:shd w:val="clear" w:color="auto" w:fill="FFFFFF"/>
        <w:spacing w:before="300" w:after="150" w:line="504" w:lineRule="atLeast"/>
        <w:jc w:val="both"/>
        <w:outlineLvl w:val="0"/>
        <w:rPr>
          <w:rFonts w:eastAsia="Times New Roman" w:cs="Times New Roman"/>
          <w:b/>
          <w:color w:val="333333"/>
          <w:kern w:val="36"/>
          <w:sz w:val="20"/>
          <w:szCs w:val="20"/>
          <w:lang w:eastAsia="fr-FR"/>
        </w:rPr>
      </w:pPr>
      <w:r w:rsidRPr="009C0B5A">
        <w:rPr>
          <w:rFonts w:eastAsia="Times New Roman" w:cs="Times New Roman"/>
          <w:b/>
          <w:color w:val="333333"/>
          <w:kern w:val="36"/>
          <w:sz w:val="20"/>
          <w:szCs w:val="20"/>
          <w:lang w:eastAsia="fr-FR"/>
        </w:rPr>
        <w:t>12. Aider l’Eglise</w:t>
      </w:r>
    </w:p>
    <w:p w14:paraId="4F0D00A8" w14:textId="77777777" w:rsidR="009C0B5A" w:rsidRPr="009C0B5A" w:rsidRDefault="009C0B5A" w:rsidP="009C0B5A">
      <w:pPr>
        <w:shd w:val="clear" w:color="auto" w:fill="FFFFFF"/>
        <w:spacing w:after="150"/>
        <w:jc w:val="both"/>
        <w:rPr>
          <w:rFonts w:cs="Times New Roman"/>
          <w:color w:val="333333"/>
          <w:sz w:val="20"/>
          <w:szCs w:val="20"/>
          <w:lang w:eastAsia="fr-FR"/>
        </w:rPr>
      </w:pPr>
      <w:r w:rsidRPr="009C0B5A">
        <w:rPr>
          <w:rFonts w:cs="Times New Roman"/>
          <w:color w:val="333333"/>
          <w:sz w:val="20"/>
          <w:szCs w:val="20"/>
          <w:lang w:eastAsia="fr-FR"/>
        </w:rPr>
        <w:t>Aux victimes, l’Eglise doit une écoute respectueuse. “Ce travail demande une grande humilité, une grande lucidité aussi, qui ne se paie pas de mots, qui soit consciente des dérives tellement possibles, un sens de Dieu et un sens du péché nourris non par la peur mais par l’espérance. Les personnes victimes pourront fortement aider l’Église dans les décennies qui viennent à préciser ses modes de fonctionnement, à affiner son droit, notamment dans la répartition des tâches, dans l’évaluation et le suivi des personnes, dans l’accompagnem</w:t>
      </w:r>
      <w:r>
        <w:rPr>
          <w:rFonts w:cs="Times New Roman"/>
          <w:color w:val="333333"/>
          <w:sz w:val="20"/>
          <w:szCs w:val="20"/>
          <w:lang w:eastAsia="fr-FR"/>
        </w:rPr>
        <w:t>ent des initiatives nouvelles.”</w:t>
      </w:r>
    </w:p>
    <w:p w14:paraId="40DEFA35" w14:textId="77777777" w:rsidR="009C0B5A" w:rsidRPr="009C0B5A" w:rsidRDefault="002E2B50" w:rsidP="009C0B5A">
      <w:pPr>
        <w:shd w:val="clear" w:color="auto" w:fill="FFFFFF"/>
        <w:spacing w:before="300" w:after="300"/>
        <w:jc w:val="both"/>
        <w:rPr>
          <w:rFonts w:eastAsia="Times New Roman" w:cs="Times New Roman"/>
          <w:color w:val="333333"/>
          <w:sz w:val="20"/>
          <w:szCs w:val="20"/>
          <w:lang w:eastAsia="fr-FR"/>
        </w:rPr>
      </w:pPr>
      <w:r>
        <w:rPr>
          <w:rFonts w:eastAsia="Times New Roman" w:cs="Times New Roman"/>
          <w:color w:val="333333"/>
          <w:sz w:val="20"/>
          <w:szCs w:val="20"/>
          <w:lang w:eastAsia="fr-FR"/>
        </w:rPr>
        <w:pict w14:anchorId="4852A3B0">
          <v:rect id="_x0000_i1025" style="width:0;height:0" o:hralign="center" o:hrstd="t" o:hr="t" fillcolor="#aaa" stroked="f"/>
        </w:pict>
      </w:r>
    </w:p>
    <w:p w14:paraId="4531A08A" w14:textId="77777777" w:rsidR="009C0B5A" w:rsidRPr="009C0B5A" w:rsidRDefault="009C0B5A" w:rsidP="009C0B5A">
      <w:pPr>
        <w:shd w:val="clear" w:color="auto" w:fill="FFFFFF"/>
        <w:spacing w:after="150"/>
        <w:jc w:val="both"/>
        <w:rPr>
          <w:rFonts w:cs="Times New Roman"/>
          <w:color w:val="333333"/>
          <w:sz w:val="20"/>
          <w:szCs w:val="20"/>
          <w:lang w:eastAsia="fr-FR"/>
        </w:rPr>
      </w:pPr>
      <w:r w:rsidRPr="009C0B5A">
        <w:rPr>
          <w:rFonts w:cs="Times New Roman"/>
          <w:color w:val="333333"/>
          <w:sz w:val="20"/>
          <w:szCs w:val="20"/>
          <w:lang w:eastAsia="fr-FR"/>
        </w:rPr>
        <w:t>Mgr Éric de Moulins-Beaufort :</w:t>
      </w:r>
      <w:r w:rsidRPr="009C0B5A">
        <w:rPr>
          <w:rFonts w:cs="Times New Roman"/>
          <w:i/>
          <w:iCs/>
          <w:color w:val="333333"/>
          <w:sz w:val="20"/>
          <w:szCs w:val="20"/>
          <w:lang w:eastAsia="fr-FR"/>
        </w:rPr>
        <w:t> Que nous est-il arrivé ? De la sidération à l’action devant les abus sexuels dans l’Eglise,</w:t>
      </w:r>
      <w:r w:rsidRPr="009C0B5A">
        <w:rPr>
          <w:rFonts w:cs="Times New Roman"/>
          <w:color w:val="333333"/>
          <w:sz w:val="20"/>
          <w:szCs w:val="20"/>
          <w:lang w:eastAsia="fr-FR"/>
        </w:rPr>
        <w:t xml:space="preserve"> Nouvelle, (2018 No 140 pp 34-54)</w:t>
      </w:r>
    </w:p>
    <w:p w14:paraId="1BE8AD72" w14:textId="77777777" w:rsidR="00395C4D" w:rsidRPr="009C0B5A" w:rsidRDefault="00395C4D" w:rsidP="009C0B5A">
      <w:pPr>
        <w:jc w:val="both"/>
        <w:rPr>
          <w:sz w:val="20"/>
          <w:szCs w:val="20"/>
        </w:rPr>
      </w:pPr>
    </w:p>
    <w:sectPr w:rsidR="00395C4D" w:rsidRPr="009C0B5A" w:rsidSect="0018694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B5A"/>
    <w:rsid w:val="00186942"/>
    <w:rsid w:val="002768FF"/>
    <w:rsid w:val="002E2B50"/>
    <w:rsid w:val="00395C4D"/>
    <w:rsid w:val="009C0B5A"/>
    <w:rsid w:val="00EA79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E142D0"/>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9C0B5A"/>
    <w:pPr>
      <w:spacing w:before="100" w:beforeAutospacing="1" w:after="100" w:afterAutospacing="1"/>
      <w:outlineLvl w:val="0"/>
    </w:pPr>
    <w:rPr>
      <w:rFonts w:ascii="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C0B5A"/>
    <w:rPr>
      <w:rFonts w:ascii="Times New Roman" w:hAnsi="Times New Roman" w:cs="Times New Roman"/>
      <w:b/>
      <w:bCs/>
      <w:kern w:val="36"/>
      <w:sz w:val="48"/>
      <w:szCs w:val="48"/>
      <w:lang w:eastAsia="fr-FR"/>
    </w:rPr>
  </w:style>
  <w:style w:type="paragraph" w:styleId="NormalWeb">
    <w:name w:val="Normal (Web)"/>
    <w:basedOn w:val="Normal"/>
    <w:uiPriority w:val="99"/>
    <w:semiHidden/>
    <w:unhideWhenUsed/>
    <w:rsid w:val="009C0B5A"/>
    <w:pPr>
      <w:spacing w:before="100" w:beforeAutospacing="1" w:after="100" w:afterAutospacing="1"/>
    </w:pPr>
    <w:rPr>
      <w:rFonts w:ascii="Times New Roman" w:hAnsi="Times New Roman" w:cs="Times New Roman"/>
      <w:lang w:eastAsia="fr-FR"/>
    </w:rPr>
  </w:style>
  <w:style w:type="character" w:styleId="lev">
    <w:name w:val="Strong"/>
    <w:basedOn w:val="Policepardfaut"/>
    <w:uiPriority w:val="22"/>
    <w:qFormat/>
    <w:rsid w:val="009C0B5A"/>
    <w:rPr>
      <w:b/>
      <w:bCs/>
    </w:rPr>
  </w:style>
  <w:style w:type="character" w:customStyle="1" w:styleId="apple-converted-space">
    <w:name w:val="apple-converted-space"/>
    <w:basedOn w:val="Policepardfaut"/>
    <w:rsid w:val="009C0B5A"/>
  </w:style>
  <w:style w:type="character" w:styleId="Accentuation">
    <w:name w:val="Emphasis"/>
    <w:basedOn w:val="Policepardfaut"/>
    <w:uiPriority w:val="20"/>
    <w:qFormat/>
    <w:rsid w:val="009C0B5A"/>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9C0B5A"/>
    <w:pPr>
      <w:spacing w:before="100" w:beforeAutospacing="1" w:after="100" w:afterAutospacing="1"/>
      <w:outlineLvl w:val="0"/>
    </w:pPr>
    <w:rPr>
      <w:rFonts w:ascii="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C0B5A"/>
    <w:rPr>
      <w:rFonts w:ascii="Times New Roman" w:hAnsi="Times New Roman" w:cs="Times New Roman"/>
      <w:b/>
      <w:bCs/>
      <w:kern w:val="36"/>
      <w:sz w:val="48"/>
      <w:szCs w:val="48"/>
      <w:lang w:eastAsia="fr-FR"/>
    </w:rPr>
  </w:style>
  <w:style w:type="paragraph" w:styleId="NormalWeb">
    <w:name w:val="Normal (Web)"/>
    <w:basedOn w:val="Normal"/>
    <w:uiPriority w:val="99"/>
    <w:semiHidden/>
    <w:unhideWhenUsed/>
    <w:rsid w:val="009C0B5A"/>
    <w:pPr>
      <w:spacing w:before="100" w:beforeAutospacing="1" w:after="100" w:afterAutospacing="1"/>
    </w:pPr>
    <w:rPr>
      <w:rFonts w:ascii="Times New Roman" w:hAnsi="Times New Roman" w:cs="Times New Roman"/>
      <w:lang w:eastAsia="fr-FR"/>
    </w:rPr>
  </w:style>
  <w:style w:type="character" w:styleId="lev">
    <w:name w:val="Strong"/>
    <w:basedOn w:val="Policepardfaut"/>
    <w:uiPriority w:val="22"/>
    <w:qFormat/>
    <w:rsid w:val="009C0B5A"/>
    <w:rPr>
      <w:b/>
      <w:bCs/>
    </w:rPr>
  </w:style>
  <w:style w:type="character" w:customStyle="1" w:styleId="apple-converted-space">
    <w:name w:val="apple-converted-space"/>
    <w:basedOn w:val="Policepardfaut"/>
    <w:rsid w:val="009C0B5A"/>
  </w:style>
  <w:style w:type="character" w:styleId="Accentuation">
    <w:name w:val="Emphasis"/>
    <w:basedOn w:val="Policepardfaut"/>
    <w:uiPriority w:val="20"/>
    <w:qFormat/>
    <w:rsid w:val="009C0B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224865">
      <w:bodyDiv w:val="1"/>
      <w:marLeft w:val="0"/>
      <w:marRight w:val="0"/>
      <w:marTop w:val="0"/>
      <w:marBottom w:val="0"/>
      <w:divBdr>
        <w:top w:val="none" w:sz="0" w:space="0" w:color="auto"/>
        <w:left w:val="none" w:sz="0" w:space="0" w:color="auto"/>
        <w:bottom w:val="none" w:sz="0" w:space="0" w:color="auto"/>
        <w:right w:val="none" w:sz="0" w:space="0" w:color="auto"/>
      </w:divBdr>
      <w:divsChild>
        <w:div w:id="1443305846">
          <w:marLeft w:val="0"/>
          <w:marRight w:val="0"/>
          <w:marTop w:val="0"/>
          <w:marBottom w:val="165"/>
          <w:divBdr>
            <w:top w:val="none" w:sz="0" w:space="0" w:color="auto"/>
            <w:left w:val="none" w:sz="0" w:space="0" w:color="auto"/>
            <w:bottom w:val="none" w:sz="0" w:space="0" w:color="auto"/>
            <w:right w:val="none" w:sz="0" w:space="0" w:color="auto"/>
          </w:divBdr>
        </w:div>
        <w:div w:id="123863745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2014</Words>
  <Characters>11078</Characters>
  <Application>Microsoft Macintosh Word</Application>
  <DocSecurity>0</DocSecurity>
  <Lines>92</Lines>
  <Paragraphs>26</Paragraphs>
  <ScaleCrop>false</ScaleCrop>
  <HeadingPairs>
    <vt:vector size="4" baseType="variant">
      <vt:variant>
        <vt:lpstr>Titre</vt:lpstr>
      </vt:variant>
      <vt:variant>
        <vt:i4>1</vt:i4>
      </vt:variant>
      <vt:variant>
        <vt:lpstr>Headings</vt:lpstr>
      </vt:variant>
      <vt:variant>
        <vt:i4>13</vt:i4>
      </vt:variant>
    </vt:vector>
  </HeadingPairs>
  <TitlesOfParts>
    <vt:vector size="14" baseType="lpstr">
      <vt:lpstr/>
      <vt:lpstr>Abus sexuels dans l’Eglise : 12 clés pour comprendre et agir</vt:lpstr>
      <vt:lpstr>1. Clarifier le vocabulaire</vt:lpstr>
      <vt:lpstr>2. Accepter que de telles violences existent</vt:lpstr>
      <vt:lpstr>3. Comprendre la dimension systémique des abus</vt:lpstr>
      <vt:lpstr>4. Dépasser les conceptions confuses de la miséricorde</vt:lpstr>
      <vt:lpstr>5. Reconnaître le mal</vt:lpstr>
      <vt:lpstr>6. Lutter contre la “toute-puissance” de certains prêtres</vt:lpstr>
      <vt:lpstr>7. Envisager de nouvelles mesures disciplinaires</vt:lpstr>
      <vt:lpstr>8. Echelonner les sanctions</vt:lpstr>
      <vt:lpstr>9. Proposer à tous un chemin spirituel</vt:lpstr>
      <vt:lpstr>10. Eviter les dérives du cléricalisme</vt:lpstr>
      <vt:lpstr>11. Mieux entourer les prêtres</vt:lpstr>
      <vt:lpstr>12. Aider l’Eglise</vt:lpstr>
    </vt:vector>
  </TitlesOfParts>
  <Company/>
  <LinksUpToDate>false</LinksUpToDate>
  <CharactersWithSpaces>13066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Laetitia du Chayla</cp:lastModifiedBy>
  <cp:revision>2</cp:revision>
  <cp:lastPrinted>2018-10-18T17:48:00Z</cp:lastPrinted>
  <dcterms:created xsi:type="dcterms:W3CDTF">2018-10-18T18:09:00Z</dcterms:created>
  <dcterms:modified xsi:type="dcterms:W3CDTF">2018-10-18T18:09:00Z</dcterms:modified>
</cp:coreProperties>
</file>